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26-330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EDUCATION DEPARTMENT[281]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281—Chapter 36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“Extracurricular Interscholastic Competition”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2026 Iowa Acts, House File 2591 as amended by 2026 Iowa Acts, House File 2800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2026 Iowa Acts, House File 2591 as amended by 2026 Iowa Acts, House File 2800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810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November 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8 to 9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Room B50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Via videoconference:</w:t>
            </w:r>
            <w:r>
              <w:br/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meet.google.com/sib-mznu-iuf 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or oral comments concerning this Regulatory Analysis, which must be received by the State Board of Education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96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Thomas A. Mayes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Rules Coordinator, Iowa Department of Education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 East 14th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Phone: 515.281.8661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thomas.a.mayes@iowa.gov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implements changes to rules on interscholastic athletics by expanding the ability of eighth-grade students to compete on high school teams and by changing how periods of ineligibility due to transfers or open enrollment transfers are calculated. This rulemaking also makes a clarifying amendment to the physical examination requirement to account for the potential participation of eighth-grade students at the high school level.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Emergency rules were adopted by the State Board at its June 18, 2026, meeting.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State Board is particularly interested in additional public comment on the last sentence of the definition of “student” (Item 1 of </w:t>
      </w:r>
      <w:r>
        <w:rPr>
          <w:rFonts w:ascii="Times New Roman" w:hAnsi="Times New Roman"/>
          <w:b/>
          <w:i w:val="false"/>
          <w:color w:val="000000"/>
          <w:sz w:val="24"/>
        </w:rPr>
        <w:t>ARC 0438D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IAB 7/22/26), as well as any unintended consequences related to the coach contact restriction in subrule 36.8(6).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There are no known costs of this proposed rulemaking. 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Iowans will benefit from the clarity provided by this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known quantitative impact.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known qualitative impact.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Implementation costs are expected to be minimal and absorbed within existing agency resources.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proposed rulemaking is not anticipated to have a direct effect on State revenues.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underlying legislation requires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underlying legislation requires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other methods were seriously considered by the State Board since the underlying legislation requires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Alternative methods were rejected. The underlying legislation requires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proposed rulemaking is not expected to have an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Emergency Rulemaking Adopted by Reference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content of this Regulatory Analysis was previously published as an Adopted and Filed Emergency rulemaking (see </w:t>
      </w:r>
      <w:r>
        <w:rPr>
          <w:rFonts w:ascii="Times New Roman" w:hAnsi="Times New Roman"/>
          <w:b/>
          <w:i w:val="false"/>
          <w:color w:val="000000"/>
          <w:sz w:val="24"/>
        </w:rPr>
        <w:t>ARC 0438D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IAB 7/22/26). The purpose of this Regulatory Analysis is to fulfill the requirements of Iowa Code section 17A.4A for that emergency rulemaking, whose subject matter is hereby adopted by reference.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meet.google.com/sib-mznu-iuf " Type="http://schemas.openxmlformats.org/officeDocument/2006/relationships/hyperlink" Id="rId4"/>
    <Relationship TargetMode="External" Target="mailto:thomas.a.mayes@iowa.gov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